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65" w:rsidRDefault="00DC0665" w:rsidP="00DC0665">
      <w:pPr>
        <w:shd w:val="clear" w:color="auto" w:fill="FFFFFF"/>
        <w:spacing w:before="300" w:after="150" w:line="240" w:lineRule="auto"/>
        <w:jc w:val="center"/>
        <w:outlineLvl w:val="1"/>
        <w:rPr>
          <w:rFonts w:ascii="Helvetica" w:eastAsia="Times New Roman" w:hAnsi="Helvetica" w:cs="Helvetica"/>
          <w:b/>
          <w:bCs/>
          <w:color w:val="333333"/>
          <w:szCs w:val="21"/>
        </w:rPr>
      </w:pPr>
      <w:r w:rsidRPr="00DC0665">
        <w:rPr>
          <w:rFonts w:ascii="Helvetica" w:eastAsia="Times New Roman" w:hAnsi="Helvetica" w:cs="Helvetica"/>
          <w:b/>
          <w:bCs/>
          <w:color w:val="333333"/>
          <w:szCs w:val="21"/>
        </w:rPr>
        <w:t>Tiêu chuẩn Giáo viên trung học cơ sở hạng II - Mã số V.07.04.31</w:t>
      </w:r>
    </w:p>
    <w:p w:rsidR="00DC0665" w:rsidRPr="00DC0665" w:rsidRDefault="00DC0665" w:rsidP="00DC0665">
      <w:pPr>
        <w:shd w:val="clear" w:color="auto" w:fill="FFFFFF"/>
        <w:spacing w:before="300" w:after="150" w:line="240" w:lineRule="auto"/>
        <w:jc w:val="center"/>
        <w:outlineLvl w:val="1"/>
        <w:rPr>
          <w:rFonts w:ascii="Helvetica" w:eastAsia="Times New Roman" w:hAnsi="Helvetica" w:cs="Helvetica"/>
          <w:b/>
          <w:color w:val="333333"/>
          <w:sz w:val="48"/>
          <w:szCs w:val="45"/>
        </w:rPr>
      </w:pPr>
      <w:bookmarkStart w:id="0" w:name="_GoBack"/>
      <w:bookmarkEnd w:id="0"/>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b/>
          <w:bCs/>
          <w:i/>
          <w:iCs/>
          <w:color w:val="333333"/>
          <w:sz w:val="21"/>
          <w:szCs w:val="21"/>
        </w:rPr>
        <w:t>1. Nhiệm vụ</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Ngoài những nhiệm vụ của giáo viên trung học cơ sở hạng III, giáo viên trung học cơ sở hạng II phải thực hiện các nhiệm vụ sau:</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Làm báo cáo viên hoặc dạy minh họa ở các lớp bồi dưỡng giáo viên hoặc dạy thử nghiệm các mô hình, phương pháp, công nghệ mới từ cấp trường trở lên; chủ trì các nội dung bồi dưỡng và sinh hoạt chuyên đề ở tổ chuyên môn hoặc tham gia xây dựng học liệu điện tử;</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Tham gia hướng dẫn hoặc đánh giá các sản phẩm nghiên cứu khoa học và công nghệ từ cấp trường trở lên;</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Tham gia các hoạt động xã hội, phục vụ cộng đồng; thu hút sự tham gia của các tổ chức, cá nhân trong việc tổ chức các hoạt động dạy học, giáo dục học sinh;</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Tham gia đoàn đánh giá ngoài; hoặc công tác kiểm tra chuyên môn, nghiệp vụ cho giáo viên từ cấp trường trở lên;</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Tham gia ban giám khảo hoặc ban ra đề hoặc người hướng dẫn trong các hội thi (của giáo viên hoặc học sinh) từ cấp trường trở lên (nếu có).</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b/>
          <w:bCs/>
          <w:i/>
          <w:iCs/>
          <w:color w:val="333333"/>
          <w:sz w:val="21"/>
          <w:szCs w:val="21"/>
        </w:rPr>
        <w:t>2. Tiêu chuẩn về đạo đức nghề nghiệp</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Ngoài các tiêu chuẩn về đạo đức nghề nghiệp của giáo viên trung học cơ sở hạng III, giáo viên trung học cơ sở hạng II phải luôn luôn gương mẫu thực hiện các quy định về đạo đức nhà giáo.</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b/>
          <w:bCs/>
          <w:i/>
          <w:iCs/>
          <w:color w:val="333333"/>
          <w:sz w:val="21"/>
          <w:szCs w:val="21"/>
        </w:rPr>
        <w:t>3. Tiêu chuẩn về trình độ đào tạo, bồi dưỡng</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Có bằng cử nhân trở lên thuộc ngành đào tạo giáo viên đối với giáo viên trung học cơ sở.</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Trường hợp môn học chưa đủ giáo viên có bằng cử nhân thuộc ngành đào tạo giáo viên thì phải có bằng cử nhân chuyên ngành phù hợp và có chứng chỉ bồi dưỡng nghiệp vụ sư phạm dành cho giáo viên trung học cơ sở theo chương trình do Bộ trưởng Bộ Giáo dục và Đào tạo ban hành;</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Có chứng chỉ bồi dưỡng theo tiêu chuẩn chức danh nghề nghiệp giáo viên trung học cơ sở hạng II.</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b/>
          <w:bCs/>
          <w:i/>
          <w:iCs/>
          <w:color w:val="333333"/>
          <w:sz w:val="21"/>
          <w:szCs w:val="21"/>
        </w:rPr>
        <w:t>4. Tiêu chuẩn về năng lực chuyên môn, nghiệp vụ</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Nắm vững chủ trương, đường lối, chính sách, pháp luật của Đảng, Nhà nước, quy định và yêu cầu của ngành, địa phương về giáo dục trung học cơ sở và triển khai thực hiện có kết quả vào nhiệm vụ được giao;</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Có khả năng điều chỉnh linh hoạt kế hoạch dạy học và giáo dục phù hợp với điều kiện thực tế của nhà trường và địa phương; có khả năng xây dựng bài học theo chủ đề liên môn;</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Chủ động cập nhật và có khả năng vận dụng linh hoạt, hiệu quả các phương pháp, công nghệ dạy học và giáo dục đáp ứng mục tiêu chương trình giáo dục phổ thông, phù hợp với điều kiện thực tế của nhà trường và địa phương;</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Chủ động cập nhật và có khả năng vận dụng sáng tạo các hình thức, phương pháp kiểm tra, đánh giá kết quả học tập, rèn luyện và sự tiến bộ của học sinh theo hướng phát triển phẩm chất, năng lực học sinh;</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lastRenderedPageBreak/>
        <w:t>- Có khả năng vận dụng có hiệu quả các biện pháp tư vấn tâm lý, hướng nghiệp phù hợp với từng đối tượng học sinh trong hoạt động dạy học và giáo dục;</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Chủ động, tích cực tạo dựng mối quan hệ hợp tác lành mạnh, tin tưởng với cha mẹ học sinh, các tổ chức, cá nhân có liên quan trong việc thực hiện các hoạt động dạy học, giáo dục học sinh;</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Chủ động nghiên cứu và có khả năng cập nhật kịp thời các yêu cầu mới về chuyên môn, nghiệp vụ; có khả năng vận dụng sáng tạo, phù hợp, có hiệu quả các hình thức nâng cao năng lực chuyên môn, nghiệp vụ của bản thân;</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Có khả năng ứng dụng công nghệ thông tin trong thực hiện các nhiệm vụ của giáo viên trung học cơ sở hạng II và có khả năng sử dụng ngoại ngữ hoặc tiếng dân tộc thiểu số trong một số nhiệm vụ cụ thể được giao;</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Được công nhận là chiến sĩ thi đua cơ sở; hoặc được nhận bằng khen, giấy khen từ cấp huyện trở lên; hoặc được công nhận đạt một trong các danh hiệu: giáo viên dạy giỏi, giáo viên chủ nhiệm lớp giỏi từ cấp trường trở lên, giáo viên làm Tổng phụ trách Đội Thiếu niên tiền phong Hồ Chí Minh giỏi từ cấp huyện trở lên;</w:t>
      </w:r>
    </w:p>
    <w:p w:rsidR="00DC0665" w:rsidRPr="00DC0665" w:rsidRDefault="00DC0665" w:rsidP="00DC0665">
      <w:pPr>
        <w:shd w:val="clear" w:color="auto" w:fill="FFFFFF"/>
        <w:spacing w:after="150" w:line="240" w:lineRule="auto"/>
        <w:rPr>
          <w:rFonts w:ascii="Helvetica" w:eastAsia="Times New Roman" w:hAnsi="Helvetica" w:cs="Helvetica"/>
          <w:color w:val="333333"/>
          <w:sz w:val="21"/>
          <w:szCs w:val="21"/>
        </w:rPr>
      </w:pPr>
      <w:r w:rsidRPr="00DC0665">
        <w:rPr>
          <w:rFonts w:ascii="Helvetica" w:eastAsia="Times New Roman" w:hAnsi="Helvetica" w:cs="Helvetica"/>
          <w:color w:val="333333"/>
          <w:sz w:val="21"/>
          <w:szCs w:val="21"/>
        </w:rPr>
        <w:t>- Viên chức dự thi hoặc xét thăng hạng chức danh nghề nghiệp giáo viên trung học cơ sở hạng II (mã số V.07.04.31) phải có thời gian giữ chức danh nghề nghiệp giáo viên trung học cơ sở hạng III (mã số V.07.04.32) hoặc tương đương đủ từ 09 (chín) năm trở lên (không kể thời gian tập sự), tính đến thời hạn nộp hồ sơ đăng ký dự thi hoặc xét thăng hạng.</w:t>
      </w:r>
    </w:p>
    <w:p w:rsidR="00FC7C19" w:rsidRDefault="00FC7C19"/>
    <w:sectPr w:rsidR="00FC7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65"/>
    <w:rsid w:val="00DC0665"/>
    <w:rsid w:val="00FC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91BEB-F924-49AC-AE67-08FBF1F7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06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665"/>
    <w:rPr>
      <w:rFonts w:ascii="Times New Roman" w:eastAsia="Times New Roman" w:hAnsi="Times New Roman" w:cs="Times New Roman"/>
      <w:b/>
      <w:bCs/>
      <w:sz w:val="36"/>
      <w:szCs w:val="36"/>
    </w:rPr>
  </w:style>
  <w:style w:type="character" w:styleId="Strong">
    <w:name w:val="Strong"/>
    <w:basedOn w:val="DefaultParagraphFont"/>
    <w:uiPriority w:val="22"/>
    <w:qFormat/>
    <w:rsid w:val="00DC0665"/>
    <w:rPr>
      <w:b/>
      <w:bCs/>
    </w:rPr>
  </w:style>
  <w:style w:type="paragraph" w:styleId="NormalWeb">
    <w:name w:val="Normal (Web)"/>
    <w:basedOn w:val="Normal"/>
    <w:uiPriority w:val="99"/>
    <w:semiHidden/>
    <w:unhideWhenUsed/>
    <w:rsid w:val="00DC06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0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2021-03-08T08:36:00Z</dcterms:created>
  <dcterms:modified xsi:type="dcterms:W3CDTF">2021-03-08T08:36:00Z</dcterms:modified>
</cp:coreProperties>
</file>